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18F9" w14:textId="77777777" w:rsidR="001149A4" w:rsidRDefault="00000000">
      <w:pPr>
        <w:pStyle w:val="Heading1"/>
        <w:jc w:val="center"/>
        <w:rPr>
          <w:rFonts w:ascii="Cambria" w:eastAsia="Cambria" w:hAnsi="Cambria" w:cs="Cambria"/>
          <w:b w:val="0"/>
          <w:color w:val="000000"/>
          <w:sz w:val="24"/>
          <w:szCs w:val="24"/>
        </w:rPr>
      </w:pPr>
      <w:r>
        <w:t>Medication Policy</w:t>
      </w:r>
    </w:p>
    <w:p w14:paraId="45B2BA6F" w14:textId="77777777" w:rsidR="001149A4" w:rsidRDefault="00894E9B">
      <w:r>
        <w:rPr>
          <w:noProof/>
        </w:rPr>
      </w:r>
      <w:r w:rsidR="00894E9B">
        <w:rPr>
          <w:noProof/>
        </w:rPr>
        <w:pict w14:anchorId="56C734DC">
          <v:rect id="_x0000_i1025" alt="" style="width:468pt;height:.05pt;mso-width-percent:0;mso-height-percent:0;mso-width-percent:0;mso-height-percent:0" o:hralign="center" o:hrstd="t" o:hr="t" fillcolor="#a0a0a0" stroked="f"/>
        </w:pict>
      </w:r>
    </w:p>
    <w:p w14:paraId="74A71414" w14:textId="77777777" w:rsidR="001149A4" w:rsidRDefault="00000000">
      <w:pPr>
        <w:pStyle w:val="Heading2"/>
      </w:pPr>
      <w:bookmarkStart w:id="0" w:name="bookmark=id.1fob9te" w:colFirst="0" w:colLast="0"/>
      <w:bookmarkEnd w:id="0"/>
      <w:r>
        <w:t>Aim</w:t>
      </w:r>
    </w:p>
    <w:p w14:paraId="48BA48B6" w14:textId="77777777" w:rsidR="001149A4" w:rsidRDefault="00000000">
      <w:pPr>
        <w:pBdr>
          <w:top w:val="nil"/>
          <w:left w:val="nil"/>
          <w:bottom w:val="nil"/>
          <w:right w:val="nil"/>
          <w:between w:val="nil"/>
        </w:pBdr>
        <w:spacing w:before="180" w:after="180"/>
        <w:rPr>
          <w:color w:val="000000"/>
          <w:highlight w:val="yellow"/>
        </w:rPr>
      </w:pPr>
      <w:r>
        <w:t>Elizabeth House</w:t>
      </w:r>
      <w:r>
        <w:rPr>
          <w:color w:val="000000"/>
        </w:rPr>
        <w:t xml:space="preserve"> puts the well-being of the children in its care at the very core of its services. The </w:t>
      </w:r>
      <w:proofErr w:type="spellStart"/>
      <w:r>
        <w:rPr>
          <w:color w:val="000000"/>
        </w:rPr>
        <w:t>organisation</w:t>
      </w:r>
      <w:proofErr w:type="spellEnd"/>
      <w:r>
        <w:rPr>
          <w:color w:val="000000"/>
        </w:rPr>
        <w:t xml:space="preserve"> is keen to help children to attend, where appropriate, even if they are taking medication</w:t>
      </w:r>
      <w:r>
        <w:t>.</w:t>
      </w:r>
    </w:p>
    <w:p w14:paraId="2D845B4A" w14:textId="77777777" w:rsidR="001149A4" w:rsidRDefault="00000000">
      <w:pPr>
        <w:pStyle w:val="Heading2"/>
      </w:pPr>
      <w:bookmarkStart w:id="1" w:name="bookmark=id.3znysh7" w:colFirst="0" w:colLast="0"/>
      <w:bookmarkEnd w:id="1"/>
      <w:r>
        <w:t>Procedure</w:t>
      </w:r>
    </w:p>
    <w:p w14:paraId="49AEF24F" w14:textId="77777777" w:rsidR="001149A4" w:rsidRDefault="00000000">
      <w:pPr>
        <w:pBdr>
          <w:top w:val="nil"/>
          <w:left w:val="nil"/>
          <w:bottom w:val="nil"/>
          <w:right w:val="nil"/>
          <w:between w:val="nil"/>
        </w:pBdr>
        <w:spacing w:before="180" w:after="180"/>
        <w:rPr>
          <w:color w:val="000000"/>
        </w:rPr>
      </w:pPr>
      <w:r>
        <w:rPr>
          <w:color w:val="000000"/>
        </w:rPr>
        <w:t>In order for medication to be administered the following procedure must be adhered to by parents and staff.</w:t>
      </w:r>
    </w:p>
    <w:p w14:paraId="5792A507" w14:textId="77777777" w:rsidR="001149A4" w:rsidRDefault="00000000">
      <w:pPr>
        <w:numPr>
          <w:ilvl w:val="0"/>
          <w:numId w:val="1"/>
        </w:numPr>
      </w:pPr>
      <w:r>
        <w:t xml:space="preserve">Elizabeth House requires written and signed consent in advance from parents which clearly shows the date, dosage and expiry date of any medication to be given. This is usually done via the </w:t>
      </w:r>
      <w:proofErr w:type="spellStart"/>
      <w:r>
        <w:t>Famly</w:t>
      </w:r>
      <w:proofErr w:type="spellEnd"/>
      <w:r>
        <w:t xml:space="preserve"> app.</w:t>
      </w:r>
    </w:p>
    <w:p w14:paraId="2FD1DFB3" w14:textId="585F0057" w:rsidR="001149A4" w:rsidRDefault="00000000">
      <w:pPr>
        <w:numPr>
          <w:ilvl w:val="0"/>
          <w:numId w:val="1"/>
        </w:numPr>
      </w:pPr>
      <w:r>
        <w:t xml:space="preserve">Any prescription medication left with staff for administration must be in its original container and bear its original label. The label must be legible and have the name of the child on it as well as full details of the dose. If the medicine has not been prescribed for the child (i.e. it does not </w:t>
      </w:r>
      <w:r w:rsidR="00894E9B">
        <w:t>have</w:t>
      </w:r>
      <w:r>
        <w:t xml:space="preserve"> their name or has another name on it) staff must not under any circumstances administer it.</w:t>
      </w:r>
    </w:p>
    <w:p w14:paraId="217FADEC" w14:textId="4A2AC4E3" w:rsidR="001149A4" w:rsidRDefault="00000000">
      <w:pPr>
        <w:numPr>
          <w:ilvl w:val="0"/>
          <w:numId w:val="1"/>
        </w:numPr>
      </w:pPr>
      <w:r>
        <w:t>Non-prescription medication (i.e. teething gel</w:t>
      </w:r>
      <w:r w:rsidR="00894E9B">
        <w:t xml:space="preserve"> or non-antibiotic eye drops</w:t>
      </w:r>
      <w:r>
        <w:t>) can be administered without a prescription but only if written permission is obtained from the parent and must be provided by them. The exception to this would be any products containing aspirin which must be accompanied by a prescription in order to be given. Non-prescription medication should only be given where there is a valid medical reason to do so. Where there is a concern the parents of a child should be advised to see their GP.</w:t>
      </w:r>
    </w:p>
    <w:p w14:paraId="3A3FECAF" w14:textId="77777777" w:rsidR="001149A4" w:rsidRDefault="00000000">
      <w:pPr>
        <w:numPr>
          <w:ilvl w:val="0"/>
          <w:numId w:val="1"/>
        </w:numPr>
      </w:pPr>
      <w:r>
        <w:t>No medication will be given in food or other drinks from home.</w:t>
      </w:r>
    </w:p>
    <w:p w14:paraId="4167C706" w14:textId="77777777" w:rsidR="001149A4" w:rsidRDefault="00000000">
      <w:pPr>
        <w:numPr>
          <w:ilvl w:val="0"/>
          <w:numId w:val="1"/>
        </w:numPr>
      </w:pPr>
      <w:r>
        <w:t xml:space="preserve">Staff will never administer the first dose of any medication. This must always be tried at home first so parents can monitor any potential reactions. </w:t>
      </w:r>
    </w:p>
    <w:p w14:paraId="454AF5AA" w14:textId="77777777" w:rsidR="001149A4" w:rsidRDefault="00000000">
      <w:pPr>
        <w:numPr>
          <w:ilvl w:val="0"/>
          <w:numId w:val="1"/>
        </w:numPr>
      </w:pPr>
      <w:r>
        <w:t>If a child has been prescribed antibiotics, the child must remain at home for a full 24 hours before returning to nursery.</w:t>
      </w:r>
    </w:p>
    <w:p w14:paraId="67BF5558" w14:textId="77777777" w:rsidR="001149A4" w:rsidRDefault="00000000">
      <w:pPr>
        <w:numPr>
          <w:ilvl w:val="0"/>
          <w:numId w:val="1"/>
        </w:numPr>
      </w:pPr>
      <w:r>
        <w:t>When administering medication staff should:</w:t>
      </w:r>
    </w:p>
    <w:p w14:paraId="323A01F6" w14:textId="77777777" w:rsidR="001149A4" w:rsidRDefault="00000000">
      <w:pPr>
        <w:numPr>
          <w:ilvl w:val="1"/>
          <w:numId w:val="2"/>
        </w:numPr>
      </w:pPr>
      <w:r>
        <w:t>wash their hands</w:t>
      </w:r>
    </w:p>
    <w:p w14:paraId="766A10E8" w14:textId="77777777" w:rsidR="001149A4" w:rsidRDefault="00000000">
      <w:pPr>
        <w:numPr>
          <w:ilvl w:val="1"/>
          <w:numId w:val="2"/>
        </w:numPr>
      </w:pPr>
      <w:r>
        <w:t xml:space="preserve">refer to the permission to administer medication form via the </w:t>
      </w:r>
      <w:proofErr w:type="spellStart"/>
      <w:r>
        <w:t>Famly</w:t>
      </w:r>
      <w:proofErr w:type="spellEnd"/>
      <w:r>
        <w:t xml:space="preserve"> app and to the administration record and carefully check that all details are correct</w:t>
      </w:r>
    </w:p>
    <w:p w14:paraId="5E178C9D" w14:textId="77777777" w:rsidR="001149A4" w:rsidRDefault="00000000">
      <w:pPr>
        <w:numPr>
          <w:ilvl w:val="1"/>
          <w:numId w:val="2"/>
        </w:numPr>
      </w:pPr>
      <w:r>
        <w:lastRenderedPageBreak/>
        <w:t>be certain of the identity of the child to whom the medication is being given.</w:t>
      </w:r>
    </w:p>
    <w:p w14:paraId="487A584C" w14:textId="77777777" w:rsidR="001149A4" w:rsidRDefault="00000000">
      <w:pPr>
        <w:numPr>
          <w:ilvl w:val="1"/>
          <w:numId w:val="2"/>
        </w:numPr>
      </w:pPr>
      <w:r>
        <w:t>check that the prescription on the label of the medication is clear and unambiguous</w:t>
      </w:r>
    </w:p>
    <w:p w14:paraId="189A3FB7" w14:textId="77777777" w:rsidR="001149A4" w:rsidRDefault="00000000">
      <w:pPr>
        <w:numPr>
          <w:ilvl w:val="1"/>
          <w:numId w:val="2"/>
        </w:numPr>
      </w:pPr>
      <w:r>
        <w:t>check the name of the medication matches the permission/administration form</w:t>
      </w:r>
    </w:p>
    <w:p w14:paraId="708B1CBB" w14:textId="77777777" w:rsidR="001149A4" w:rsidRDefault="00000000">
      <w:pPr>
        <w:numPr>
          <w:ilvl w:val="1"/>
          <w:numId w:val="2"/>
        </w:numPr>
      </w:pPr>
      <w:r>
        <w:t>check the name of the child on the label matches the permission/administration form</w:t>
      </w:r>
    </w:p>
    <w:p w14:paraId="23DA1631" w14:textId="77777777" w:rsidR="001149A4" w:rsidRDefault="00000000">
      <w:pPr>
        <w:numPr>
          <w:ilvl w:val="1"/>
          <w:numId w:val="2"/>
        </w:numPr>
      </w:pPr>
      <w:r>
        <w:t xml:space="preserve">check the dose and method of administration and expiry date </w:t>
      </w:r>
    </w:p>
    <w:p w14:paraId="00920AA1" w14:textId="77777777" w:rsidR="001149A4" w:rsidRDefault="00000000">
      <w:pPr>
        <w:numPr>
          <w:ilvl w:val="1"/>
          <w:numId w:val="2"/>
        </w:numPr>
      </w:pPr>
      <w:r>
        <w:t>administer the medication as instructed on the label and as specified in the permission to administer medication form</w:t>
      </w:r>
    </w:p>
    <w:p w14:paraId="7DAE7822" w14:textId="77777777" w:rsidR="001149A4" w:rsidRDefault="00000000">
      <w:pPr>
        <w:numPr>
          <w:ilvl w:val="1"/>
          <w:numId w:val="2"/>
        </w:numPr>
      </w:pPr>
      <w:r>
        <w:t xml:space="preserve">keep clear and accurate, signed records of all medication administered, withheld or refused via the </w:t>
      </w:r>
      <w:proofErr w:type="spellStart"/>
      <w:r>
        <w:t>Famly</w:t>
      </w:r>
      <w:proofErr w:type="spellEnd"/>
      <w:r>
        <w:t xml:space="preserve"> app</w:t>
      </w:r>
    </w:p>
    <w:p w14:paraId="2943B2A8" w14:textId="77777777" w:rsidR="001149A4" w:rsidRDefault="00000000">
      <w:pPr>
        <w:numPr>
          <w:ilvl w:val="0"/>
          <w:numId w:val="1"/>
        </w:numPr>
      </w:pPr>
      <w:r>
        <w:t>All medication should be kept securely in the secure cupboards provided.</w:t>
      </w:r>
    </w:p>
    <w:p w14:paraId="2529911A" w14:textId="77777777" w:rsidR="001149A4" w:rsidRDefault="00000000">
      <w:pPr>
        <w:numPr>
          <w:ilvl w:val="0"/>
          <w:numId w:val="1"/>
        </w:numPr>
      </w:pPr>
      <w:r>
        <w:t>Asthma inhalers and adrenaline auto-injectors which are prescribed to specific children for emergency purposes should not be locked away, but should be kept in a safe place where they can be instantly accessed if needed. The safe place should be designated for purpose, well known to all staff and out of the reach of children.</w:t>
      </w:r>
    </w:p>
    <w:p w14:paraId="46B06385" w14:textId="77777777" w:rsidR="001149A4" w:rsidRDefault="00000000">
      <w:pPr>
        <w:numPr>
          <w:ilvl w:val="0"/>
          <w:numId w:val="1"/>
        </w:numPr>
      </w:pPr>
      <w:r>
        <w:t xml:space="preserve">If a child refuses to take their medication staff should never attempt to force child unless in an emergency situation and a child’s life is in danger. </w:t>
      </w:r>
    </w:p>
    <w:p w14:paraId="77E6AD52" w14:textId="77777777" w:rsidR="001149A4" w:rsidRDefault="00000000">
      <w:pPr>
        <w:numPr>
          <w:ilvl w:val="0"/>
          <w:numId w:val="1"/>
        </w:numPr>
      </w:pPr>
      <w:r>
        <w:t>Elizabeth House will administer certain non-prescription medication but insist that any request for this is accompanied by a permission form which is signed by the parent/guardian. Staff can administer non-prescribed medication for a maximum of three days, after which time they will no longer be able to continue giving the medication. At any time during the three days, if the staff deem that the child's health has deteriorated or they have concerns for his/her health, the parent/guardian should be contacted and asked to collect the child (or make arrangements for the child to be collected by another named person) and refer them to their GP.</w:t>
      </w:r>
    </w:p>
    <w:p w14:paraId="679411FB" w14:textId="77777777" w:rsidR="001149A4" w:rsidRDefault="00000000">
      <w:pPr>
        <w:numPr>
          <w:ilvl w:val="0"/>
          <w:numId w:val="1"/>
        </w:numPr>
      </w:pPr>
      <w:r>
        <w:t>Written permission is required for emergency treatment of chronic illnesses, such as asthma where inhalers may need to be given on a long-term basis.</w:t>
      </w:r>
    </w:p>
    <w:p w14:paraId="3682B94E" w14:textId="77777777" w:rsidR="001149A4" w:rsidRDefault="00000000">
      <w:pPr>
        <w:numPr>
          <w:ilvl w:val="0"/>
          <w:numId w:val="1"/>
        </w:numPr>
      </w:pPr>
      <w:r>
        <w:t>In an emergency situation an ambulance will be called for and parents informed immediately.</w:t>
      </w:r>
    </w:p>
    <w:p w14:paraId="500BA71F" w14:textId="5EC8DEFE" w:rsidR="001149A4" w:rsidRDefault="005E1F11">
      <w:pPr>
        <w:numPr>
          <w:ilvl w:val="0"/>
          <w:numId w:val="1"/>
        </w:numPr>
      </w:pPr>
      <w:r>
        <w:t>C</w:t>
      </w:r>
      <w:r w:rsidR="00000000">
        <w:t xml:space="preserve">hildren may not arrive at nursery having been given Calpol (or similar medication) </w:t>
      </w:r>
      <w:r w:rsidR="00735534">
        <w:t xml:space="preserve">within the last 24 hours </w:t>
      </w:r>
      <w:r w:rsidR="002F2411">
        <w:t>for whatever reason</w:t>
      </w:r>
      <w:r w:rsidR="00F81155">
        <w:t>. S</w:t>
      </w:r>
      <w:r w:rsidR="00000000">
        <w:t xml:space="preserve">taff may administer </w:t>
      </w:r>
      <w:r>
        <w:t xml:space="preserve">Calpol </w:t>
      </w:r>
      <w:r w:rsidR="00000000">
        <w:t xml:space="preserve">to a child who becomes unwell whilst at nursery and they are waiting for the child to be collected. Parental permission is sought via the </w:t>
      </w:r>
      <w:proofErr w:type="spellStart"/>
      <w:r w:rsidR="00000000">
        <w:t>Famly</w:t>
      </w:r>
      <w:proofErr w:type="spellEnd"/>
      <w:r w:rsidR="00000000">
        <w:t xml:space="preserve"> app. </w:t>
      </w:r>
    </w:p>
    <w:p w14:paraId="6A173C88" w14:textId="77777777" w:rsidR="001149A4" w:rsidRDefault="00000000">
      <w:pPr>
        <w:numPr>
          <w:ilvl w:val="0"/>
          <w:numId w:val="1"/>
        </w:numPr>
      </w:pPr>
      <w:r>
        <w:lastRenderedPageBreak/>
        <w:t>The policy will be reviewed annually and amendments and changes will be made as appropriate.</w:t>
      </w:r>
    </w:p>
    <w:p w14:paraId="187A194E" w14:textId="77777777" w:rsidR="001149A4" w:rsidRDefault="00000000">
      <w:pPr>
        <w:numPr>
          <w:ilvl w:val="0"/>
          <w:numId w:val="1"/>
        </w:numPr>
      </w:pPr>
      <w:r>
        <w:t>Medical information, including details about medicines, should be treated as confidential by all staff.</w:t>
      </w:r>
    </w:p>
    <w:tbl>
      <w:tblPr>
        <w:tblStyle w:val="a"/>
        <w:tblW w:w="0" w:type="auto"/>
        <w:tblInd w:w="-108" w:type="dxa"/>
        <w:tblLayout w:type="fixed"/>
        <w:tblLook w:val="0000" w:firstRow="0" w:lastRow="0" w:firstColumn="0" w:lastColumn="0" w:noHBand="0" w:noVBand="0"/>
      </w:tblPr>
      <w:tblGrid>
        <w:gridCol w:w="4680"/>
        <w:gridCol w:w="4680"/>
      </w:tblGrid>
      <w:tr w:rsidR="001149A4" w14:paraId="2DFD18B3" w14:textId="77777777">
        <w:tc>
          <w:tcPr>
            <w:tcW w:w="4680" w:type="dxa"/>
          </w:tcPr>
          <w:p w14:paraId="1F298E65" w14:textId="77777777" w:rsidR="001149A4" w:rsidRDefault="00000000">
            <w:r>
              <w:t>Signed:</w:t>
            </w:r>
          </w:p>
        </w:tc>
        <w:tc>
          <w:tcPr>
            <w:tcW w:w="4680" w:type="dxa"/>
          </w:tcPr>
          <w:p w14:paraId="18486FFE" w14:textId="77777777" w:rsidR="001149A4" w:rsidRDefault="00000000">
            <w:r>
              <w:t>Cressida Munnery</w:t>
            </w:r>
          </w:p>
        </w:tc>
      </w:tr>
      <w:tr w:rsidR="001149A4" w14:paraId="0BE4D2A0" w14:textId="77777777">
        <w:tc>
          <w:tcPr>
            <w:tcW w:w="4680" w:type="dxa"/>
          </w:tcPr>
          <w:p w14:paraId="61A9520F" w14:textId="77777777" w:rsidR="001149A4" w:rsidRDefault="00000000">
            <w:r>
              <w:t>Date:</w:t>
            </w:r>
          </w:p>
        </w:tc>
        <w:tc>
          <w:tcPr>
            <w:tcW w:w="4680" w:type="dxa"/>
          </w:tcPr>
          <w:p w14:paraId="37BDEAC8" w14:textId="5372A51C" w:rsidR="001149A4" w:rsidRDefault="00000000">
            <w:r>
              <w:t>July 202</w:t>
            </w:r>
            <w:r w:rsidR="00735534">
              <w:t>5</w:t>
            </w:r>
          </w:p>
        </w:tc>
      </w:tr>
      <w:tr w:rsidR="001149A4" w14:paraId="1DE1C504" w14:textId="77777777">
        <w:tc>
          <w:tcPr>
            <w:tcW w:w="4680" w:type="dxa"/>
          </w:tcPr>
          <w:p w14:paraId="6471010A" w14:textId="77777777" w:rsidR="001149A4" w:rsidRDefault="00000000">
            <w:r>
              <w:t>Policy review date:</w:t>
            </w:r>
          </w:p>
        </w:tc>
        <w:tc>
          <w:tcPr>
            <w:tcW w:w="4680" w:type="dxa"/>
          </w:tcPr>
          <w:p w14:paraId="5E41D052" w14:textId="3E173407" w:rsidR="001149A4" w:rsidRDefault="00000000">
            <w:r>
              <w:t>July 202</w:t>
            </w:r>
            <w:r w:rsidR="00735534">
              <w:t>6</w:t>
            </w:r>
          </w:p>
        </w:tc>
      </w:tr>
    </w:tbl>
    <w:p w14:paraId="794FDB27" w14:textId="77777777" w:rsidR="001149A4" w:rsidRDefault="00894E9B">
      <w:r>
        <w:rPr>
          <w:noProof/>
        </w:rPr>
      </w:r>
      <w:r w:rsidR="00894E9B">
        <w:rPr>
          <w:noProof/>
        </w:rPr>
        <w:pict w14:anchorId="4A9A893D">
          <v:rect id="_x0000_i1026" alt="" style="width:468pt;height:.05pt;mso-width-percent:0;mso-height-percent:0;mso-width-percent:0;mso-height-percent:0" o:hralign="center" o:hrstd="t" o:hr="t" fillcolor="#a0a0a0" stroked="f"/>
        </w:pict>
      </w:r>
    </w:p>
    <w:p w14:paraId="079769EC" w14:textId="77777777" w:rsidR="001149A4" w:rsidRDefault="00000000">
      <w:pPr>
        <w:pBdr>
          <w:top w:val="nil"/>
          <w:left w:val="nil"/>
          <w:bottom w:val="nil"/>
          <w:right w:val="nil"/>
          <w:between w:val="nil"/>
        </w:pBdr>
        <w:spacing w:before="180" w:after="180"/>
        <w:rPr>
          <w:color w:val="000000"/>
        </w:rPr>
      </w:pPr>
      <w:r>
        <w:rPr>
          <w:color w:val="000000"/>
        </w:rPr>
        <w:br/>
      </w:r>
    </w:p>
    <w:sectPr w:rsidR="001149A4">
      <w:headerReference w:type="default" r:id="rId8"/>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78C6" w14:textId="77777777" w:rsidR="004C20E9" w:rsidRDefault="004C20E9">
      <w:pPr>
        <w:spacing w:after="0"/>
      </w:pPr>
      <w:r>
        <w:separator/>
      </w:r>
    </w:p>
  </w:endnote>
  <w:endnote w:type="continuationSeparator" w:id="0">
    <w:p w14:paraId="209646F8" w14:textId="77777777" w:rsidR="004C20E9" w:rsidRDefault="004C2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088E" w14:textId="77777777" w:rsidR="004C20E9" w:rsidRDefault="004C20E9">
      <w:pPr>
        <w:spacing w:after="0"/>
      </w:pPr>
      <w:r>
        <w:separator/>
      </w:r>
    </w:p>
  </w:footnote>
  <w:footnote w:type="continuationSeparator" w:id="0">
    <w:p w14:paraId="05877CD4" w14:textId="77777777" w:rsidR="004C20E9" w:rsidRDefault="004C20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DAA1" w14:textId="77777777" w:rsidR="001149A4" w:rsidRDefault="00000000">
    <w:pPr>
      <w:tabs>
        <w:tab w:val="center" w:pos="4513"/>
        <w:tab w:val="right" w:pos="9026"/>
      </w:tabs>
      <w:spacing w:after="0"/>
      <w:jc w:val="center"/>
    </w:pPr>
    <w:r>
      <w:rPr>
        <w:rFonts w:ascii="Arial" w:eastAsia="Arial" w:hAnsi="Arial" w:cs="Arial"/>
        <w:noProof/>
        <w:color w:val="FF0000"/>
        <w:sz w:val="20"/>
        <w:szCs w:val="20"/>
      </w:rPr>
      <w:drawing>
        <wp:inline distT="114300" distB="114300" distL="114300" distR="114300" wp14:anchorId="3FD35D9A" wp14:editId="2ABABBBB">
          <wp:extent cx="1392225" cy="853795"/>
          <wp:effectExtent l="0" t="0" r="0" b="0"/>
          <wp:docPr id="1" name="image1.jpg" descr="A logo for a nursery and presch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for a nursery and preschool&#10;&#10;Description automatically generated"/>
                  <pic:cNvPicPr preferRelativeResize="0"/>
                </pic:nvPicPr>
                <pic:blipFill>
                  <a:blip r:embed="rId1"/>
                  <a:srcRect/>
                  <a:stretch>
                    <a:fillRect/>
                  </a:stretch>
                </pic:blipFill>
                <pic:spPr>
                  <a:xfrm>
                    <a:off x="0" y="0"/>
                    <a:ext cx="1392225" cy="8537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6EB9"/>
    <w:multiLevelType w:val="multilevel"/>
    <w:tmpl w:val="DC80B584"/>
    <w:lvl w:ilvl="0">
      <w:start w:val="1"/>
      <w:numFmt w:val="lowerLetter"/>
      <w:lvlText w:val="%1."/>
      <w:lvlJc w:val="left"/>
      <w:pPr>
        <w:ind w:left="480" w:hanging="480"/>
      </w:pPr>
    </w:lvl>
    <w:lvl w:ilvl="1">
      <w:start w:val="1"/>
      <w:numFmt w:val="lowerLetter"/>
      <w:lvlText w:val="%2."/>
      <w:lvlJc w:val="left"/>
      <w:pPr>
        <w:ind w:left="1200" w:hanging="480"/>
      </w:pPr>
    </w:lvl>
    <w:lvl w:ilvl="2">
      <w:start w:val="1"/>
      <w:numFmt w:val="lowerLetter"/>
      <w:lvlText w:val="%3."/>
      <w:lvlJc w:val="left"/>
      <w:pPr>
        <w:ind w:left="1920" w:hanging="480"/>
      </w:pPr>
    </w:lvl>
    <w:lvl w:ilvl="3">
      <w:start w:val="1"/>
      <w:numFmt w:val="lowerLetter"/>
      <w:lvlText w:val="%4."/>
      <w:lvlJc w:val="left"/>
      <w:pPr>
        <w:ind w:left="2640" w:hanging="480"/>
      </w:pPr>
    </w:lvl>
    <w:lvl w:ilvl="4">
      <w:start w:val="1"/>
      <w:numFmt w:val="lowerLetter"/>
      <w:lvlText w:val="%5."/>
      <w:lvlJc w:val="left"/>
      <w:pPr>
        <w:ind w:left="3360" w:hanging="480"/>
      </w:pPr>
    </w:lvl>
    <w:lvl w:ilvl="5">
      <w:start w:val="1"/>
      <w:numFmt w:val="lowerLetter"/>
      <w:lvlText w:val="%6."/>
      <w:lvlJc w:val="left"/>
      <w:pPr>
        <w:ind w:left="4080" w:hanging="480"/>
      </w:pPr>
    </w:lvl>
    <w:lvl w:ilvl="6">
      <w:start w:val="1"/>
      <w:numFmt w:val="lowerLetter"/>
      <w:lvlText w:val="%7."/>
      <w:lvlJc w:val="left"/>
      <w:pPr>
        <w:ind w:left="4800" w:hanging="480"/>
      </w:pPr>
    </w:lvl>
    <w:lvl w:ilvl="7">
      <w:start w:val="1"/>
      <w:numFmt w:val="lowerLetter"/>
      <w:lvlText w:val="%8."/>
      <w:lvlJc w:val="left"/>
      <w:pPr>
        <w:ind w:left="5520" w:hanging="480"/>
      </w:pPr>
    </w:lvl>
    <w:lvl w:ilvl="8">
      <w:start w:val="1"/>
      <w:numFmt w:val="lowerLetter"/>
      <w:lvlText w:val="%9."/>
      <w:lvlJc w:val="left"/>
      <w:pPr>
        <w:ind w:left="6240" w:hanging="480"/>
      </w:pPr>
    </w:lvl>
  </w:abstractNum>
  <w:abstractNum w:abstractNumId="1" w15:restartNumberingAfterBreak="0">
    <w:nsid w:val="5E03729C"/>
    <w:multiLevelType w:val="multilevel"/>
    <w:tmpl w:val="1EFAD566"/>
    <w:lvl w:ilvl="0">
      <w:start w:val="1"/>
      <w:numFmt w:val="decimal"/>
      <w:lvlText w:val="%1."/>
      <w:lvlJc w:val="left"/>
      <w:pPr>
        <w:ind w:left="480" w:hanging="480"/>
      </w:pPr>
    </w:lvl>
    <w:lvl w:ilvl="1">
      <w:start w:val="1"/>
      <w:numFmt w:val="lowerLetter"/>
      <w:lvlText w:val="%2."/>
      <w:lvlJc w:val="left"/>
      <w:pPr>
        <w:ind w:left="1200" w:hanging="480"/>
      </w:pPr>
    </w:lvl>
    <w:lvl w:ilvl="2">
      <w:start w:val="1"/>
      <w:numFmt w:val="lowerRoman"/>
      <w:lvlText w:val="%3."/>
      <w:lvlJc w:val="left"/>
      <w:pPr>
        <w:ind w:left="1920" w:hanging="480"/>
      </w:pPr>
    </w:lvl>
    <w:lvl w:ilvl="3">
      <w:start w:val="1"/>
      <w:numFmt w:val="decimal"/>
      <w:lvlText w:val="%4."/>
      <w:lvlJc w:val="left"/>
      <w:pPr>
        <w:ind w:left="2640" w:hanging="480"/>
      </w:pPr>
    </w:lvl>
    <w:lvl w:ilvl="4">
      <w:start w:val="1"/>
      <w:numFmt w:val="lowerLetter"/>
      <w:lvlText w:val="%5."/>
      <w:lvlJc w:val="left"/>
      <w:pPr>
        <w:ind w:left="3360" w:hanging="480"/>
      </w:pPr>
    </w:lvl>
    <w:lvl w:ilvl="5">
      <w:start w:val="1"/>
      <w:numFmt w:val="lowerRoman"/>
      <w:lvlText w:val="%6."/>
      <w:lvlJc w:val="left"/>
      <w:pPr>
        <w:ind w:left="4080" w:hanging="480"/>
      </w:pPr>
    </w:lvl>
    <w:lvl w:ilvl="6">
      <w:start w:val="1"/>
      <w:numFmt w:val="decimal"/>
      <w:lvlText w:val="%7."/>
      <w:lvlJc w:val="left"/>
      <w:pPr>
        <w:ind w:left="4800" w:hanging="480"/>
      </w:pPr>
    </w:lvl>
    <w:lvl w:ilvl="7">
      <w:start w:val="1"/>
      <w:numFmt w:val="lowerLetter"/>
      <w:lvlText w:val="%8."/>
      <w:lvlJc w:val="left"/>
      <w:pPr>
        <w:ind w:left="5520" w:hanging="480"/>
      </w:pPr>
    </w:lvl>
    <w:lvl w:ilvl="8">
      <w:start w:val="1"/>
      <w:numFmt w:val="lowerRoman"/>
      <w:lvlText w:val="%9."/>
      <w:lvlJc w:val="left"/>
      <w:pPr>
        <w:ind w:left="6240" w:hanging="480"/>
      </w:pPr>
    </w:lvl>
  </w:abstractNum>
  <w:num w:numId="1" w16cid:durableId="2110664218">
    <w:abstractNumId w:val="1"/>
  </w:num>
  <w:num w:numId="2" w16cid:durableId="23432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A4"/>
    <w:rsid w:val="001149A4"/>
    <w:rsid w:val="00203103"/>
    <w:rsid w:val="002F2411"/>
    <w:rsid w:val="004C20E9"/>
    <w:rsid w:val="004F0D4B"/>
    <w:rsid w:val="005A7981"/>
    <w:rsid w:val="005E1F11"/>
    <w:rsid w:val="006603DD"/>
    <w:rsid w:val="00735534"/>
    <w:rsid w:val="00737125"/>
    <w:rsid w:val="00742B05"/>
    <w:rsid w:val="00894E9B"/>
    <w:rsid w:val="00AA45C2"/>
    <w:rsid w:val="00AC737C"/>
    <w:rsid w:val="00B25E10"/>
    <w:rsid w:val="00F81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C279"/>
  <w15:docId w15:val="{59D3A788-3924-6A40-A8A6-8B9C22CF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semiHidden/>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semiHidden/>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semiHidden/>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35B8A"/>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basedOn w:val="TableNormal"/>
    <w:semiHidden/>
    <w:unhideWhenUsed/>
    <w:qFormat/>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dTvPXRXxyDeu401CFjVNui8Ug==">CgMxLjAyEGtpeC56Yzh3dHZ0ZDR2Y3oyD2tpeC5zODZtbHY1b25scTIOaC5jdzc2MmUybTNneDkyCmlkLjFmb2I5dGUyCmlkLjN6bnlzaDc4AHIhMWhKT1JMWWhCeGEyb2FIYU5XbkgyTGcwMEJQU3AwMjE1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Cressida Millar</cp:lastModifiedBy>
  <cp:revision>2</cp:revision>
  <cp:lastPrinted>2024-08-14T08:18:00Z</cp:lastPrinted>
  <dcterms:created xsi:type="dcterms:W3CDTF">2025-10-21T11:24:00Z</dcterms:created>
  <dcterms:modified xsi:type="dcterms:W3CDTF">2025-10-21T11:24:00Z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